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49" w:rsidRDefault="00170749" w:rsidP="0017074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 information to the manuscript:</w:t>
      </w:r>
    </w:p>
    <w:p w:rsidR="00170749" w:rsidRPr="00170749" w:rsidRDefault="00170749" w:rsidP="00170749">
      <w:pPr>
        <w:spacing w:before="240" w:after="60" w:line="360" w:lineRule="auto"/>
        <w:ind w:firstLine="0"/>
        <w:outlineLvl w:val="0"/>
        <w:rPr>
          <w:rFonts w:ascii="Arial" w:eastAsia="Times New Roman" w:hAnsi="Arial" w:cs="Arial"/>
          <w:b/>
          <w:bCs/>
          <w:color w:val="000000"/>
          <w:kern w:val="28"/>
          <w:sz w:val="32"/>
          <w:szCs w:val="32"/>
          <w:lang w:val="en-GB" w:eastAsia="de-DE"/>
        </w:rPr>
      </w:pPr>
      <w:r w:rsidRPr="00170749">
        <w:rPr>
          <w:rFonts w:ascii="Arial" w:eastAsia="Times New Roman" w:hAnsi="Arial" w:cs="Arial"/>
          <w:b/>
          <w:bCs/>
          <w:color w:val="000000"/>
          <w:kern w:val="28"/>
          <w:sz w:val="32"/>
          <w:szCs w:val="32"/>
          <w:lang w:val="en-GB" w:eastAsia="de-DE"/>
        </w:rPr>
        <w:t>FLOPROS: An evolving global database of flood protection standards</w:t>
      </w:r>
    </w:p>
    <w:p w:rsid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70749">
        <w:rPr>
          <w:rFonts w:ascii="Times New Roman" w:hAnsi="Times New Roman" w:cs="Times New Roman"/>
          <w:sz w:val="24"/>
          <w:szCs w:val="24"/>
        </w:rPr>
        <w:t>P. Scussolini</w:t>
      </w:r>
      <w:r w:rsidRPr="0017074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70749">
        <w:rPr>
          <w:rFonts w:ascii="Times New Roman" w:hAnsi="Times New Roman" w:cs="Times New Roman"/>
          <w:sz w:val="24"/>
          <w:szCs w:val="24"/>
        </w:rPr>
        <w:t>, J. C. J. H. Aerts</w:t>
      </w:r>
      <w:r w:rsidRPr="0017074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70749">
        <w:rPr>
          <w:rFonts w:ascii="Times New Roman" w:hAnsi="Times New Roman" w:cs="Times New Roman"/>
          <w:sz w:val="24"/>
          <w:szCs w:val="24"/>
        </w:rPr>
        <w:t>, B. Jongman</w:t>
      </w:r>
      <w:r w:rsidRPr="0017074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70749">
        <w:rPr>
          <w:rFonts w:ascii="Times New Roman" w:hAnsi="Times New Roman" w:cs="Times New Roman"/>
          <w:sz w:val="24"/>
          <w:szCs w:val="24"/>
        </w:rPr>
        <w:t>, L. M. Bouwer</w:t>
      </w:r>
      <w:r w:rsidRPr="001707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0749">
        <w:rPr>
          <w:rFonts w:ascii="Times New Roman" w:hAnsi="Times New Roman" w:cs="Times New Roman"/>
          <w:sz w:val="24"/>
          <w:szCs w:val="24"/>
        </w:rPr>
        <w:t>, H. C. Winsemius</w:t>
      </w:r>
      <w:r w:rsidRPr="001707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0749">
        <w:rPr>
          <w:rFonts w:ascii="Times New Roman" w:hAnsi="Times New Roman" w:cs="Times New Roman"/>
          <w:sz w:val="24"/>
          <w:szCs w:val="24"/>
        </w:rPr>
        <w:t>, H. de Moel</w:t>
      </w:r>
      <w:r w:rsidRPr="0017074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70749">
        <w:rPr>
          <w:rFonts w:ascii="Times New Roman" w:hAnsi="Times New Roman" w:cs="Times New Roman"/>
          <w:sz w:val="24"/>
          <w:szCs w:val="24"/>
        </w:rPr>
        <w:t>, P. J. Ward</w:t>
      </w:r>
      <w:r w:rsidRPr="00170749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170749" w:rsidRP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70749" w:rsidRPr="002C35E2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C10ED">
        <w:rPr>
          <w:rFonts w:ascii="Times New Roman" w:hAnsi="Times New Roman" w:cs="Times New Roman"/>
          <w:b/>
          <w:sz w:val="24"/>
          <w:szCs w:val="24"/>
          <w:lang w:val="en-US"/>
        </w:rPr>
        <w:t>1. Results</w:t>
      </w:r>
      <w:r w:rsidRPr="002C35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alternat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ive choices for the Model layer and comparison to the Design layer</w:t>
      </w:r>
    </w:p>
    <w:p w:rsid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15EC479D" wp14:editId="24840A4F">
            <wp:extent cx="2810933" cy="1911831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3" t="11764" r="8970" b="12353"/>
                    <a:stretch/>
                  </pic:blipFill>
                  <pic:spPr bwMode="auto">
                    <a:xfrm>
                      <a:off x="0" y="0"/>
                      <a:ext cx="2820949" cy="19186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788C3BFB" wp14:editId="36E610BC">
            <wp:extent cx="2895711" cy="1972734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5" t="11765" r="8824" b="11961"/>
                    <a:stretch/>
                  </pic:blipFill>
                  <pic:spPr bwMode="auto">
                    <a:xfrm>
                      <a:off x="0" y="0"/>
                      <a:ext cx="2898899" cy="1974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331CBC36" wp14:editId="706D3B21">
            <wp:extent cx="2786144" cy="1896533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3" t="11569" r="8824" b="12353"/>
                    <a:stretch/>
                  </pic:blipFill>
                  <pic:spPr bwMode="auto">
                    <a:xfrm>
                      <a:off x="0" y="0"/>
                      <a:ext cx="2786144" cy="18965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29826730" wp14:editId="0ABD5C34">
            <wp:extent cx="2895511" cy="1964267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4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t="12549" r="8824" b="11765"/>
                    <a:stretch/>
                  </pic:blipFill>
                  <pic:spPr bwMode="auto">
                    <a:xfrm>
                      <a:off x="0" y="0"/>
                      <a:ext cx="2895511" cy="1964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1D870079" wp14:editId="5F29E3AB">
            <wp:extent cx="2895600" cy="1976362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5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t="12157" r="9117" b="11960"/>
                    <a:stretch/>
                  </pic:blipFill>
                  <pic:spPr bwMode="auto">
                    <a:xfrm>
                      <a:off x="0" y="0"/>
                      <a:ext cx="2896393" cy="19769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650FFC6C" wp14:editId="3153AB41">
            <wp:extent cx="2856060" cy="1969522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6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t="11372" r="9117" b="11961"/>
                    <a:stretch/>
                  </pic:blipFill>
                  <pic:spPr bwMode="auto">
                    <a:xfrm>
                      <a:off x="0" y="0"/>
                      <a:ext cx="2868440" cy="19780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Fig. S1. Comparison of the various solutions for the Model layer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(green diamonds)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versus the Design layer standards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(red bars), for regions where comparability of scale and Design-layer reliability is optimal. </w:t>
      </w:r>
      <w:r>
        <w:rPr>
          <w:rFonts w:ascii="Times New Roman" w:hAnsi="Times New Roman" w:cs="Times New Roman"/>
          <w:sz w:val="24"/>
          <w:szCs w:val="24"/>
          <w:lang w:val="en-US"/>
        </w:rPr>
        <w:t>Model layer solutions plotted are A) World Bank income group aggregation and return period calculation; B)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World Bank income group aggregation and exceedance probability calculation; C) United Nations regions aggregation and return period calculation; D)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United Nations regions aggregation and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exceedance probability calculation, E)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 aggregation and return period calculation; F) No aggregation and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exceedance probability calculation.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For the Design layer,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either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a range of values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a single value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plotted.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o enhance </w:t>
      </w:r>
      <w:r>
        <w:rPr>
          <w:rFonts w:ascii="Times New Roman" w:hAnsi="Times New Roman" w:cs="Times New Roman"/>
          <w:sz w:val="24"/>
          <w:szCs w:val="24"/>
          <w:lang w:val="en-US"/>
        </w:rPr>
        <w:t>visual comparison, v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alues are reported as logarithm of the annual exceedance probability relative to the protection standard. </w:t>
      </w:r>
    </w:p>
    <w:p w:rsidR="00170749" w:rsidRPr="002C35E2" w:rsidRDefault="00170749" w:rsidP="001707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C35E2">
        <w:rPr>
          <w:rFonts w:ascii="Times New Roman" w:hAnsi="Times New Roman" w:cs="Times New Roman"/>
          <w:b/>
          <w:sz w:val="24"/>
          <w:szCs w:val="24"/>
          <w:lang w:val="en-US"/>
        </w:rPr>
        <w:t>. Comparison of protection between the Design and the Model layers.</w:t>
      </w:r>
    </w:p>
    <w:p w:rsidR="00170749" w:rsidRPr="00D042DB" w:rsidRDefault="00170749" w:rsidP="001707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Table S1</w:t>
      </w:r>
      <w:r w:rsidRPr="00D042D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Values of Design and Model layer protection standards for a set of locations for which comparison is possible on a spatial scale. In cases where the comparison involves several country-scale units in the Model layer the average (of the exceedance probability) was taken.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51"/>
        <w:gridCol w:w="1692"/>
        <w:gridCol w:w="1550"/>
        <w:gridCol w:w="1572"/>
      </w:tblGrid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Design layer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layer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Austria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Zurich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&gt;=100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48-600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Danube (Austria)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Ceframe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(retrieved Mar. 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100-1000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60-600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Vienna (Austria)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Zurich (2013)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Dhaka (Bangladesh)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Asian development bank (2002)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Kruibeke (Belgium)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EU OURCOAST Project 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(retrieved Nov. 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British Columbia (Canada)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Musy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(2014); North Vancouver District (retrieved Nov. 2014); Province of British Columbia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River (Canada)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River Basin Commission (2010)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100-250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China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Zhang Hai-</w:t>
            </w: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Lun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(2004)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16-40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China (rural)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Hong Kong Government (retrieved Nov. 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16-40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Jingdezhen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 Bank (2013)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Foshan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Zhang et al. (2008)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20-50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Chengdu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Jha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(2012)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Guangzhou 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(2009)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Ningbo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Qingdao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Tianjin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Pearl River Delta (China)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Tracy et al. (2007)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Southern Taiwan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Huang et al. (2015)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168-297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Taipei (Taiwan)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Taipei city government (2001)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50-200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Prague (Czech Rep.)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Floodmaster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intranet (retrieved Nov. 2014); Povodí Vltavy (2007)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20-200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Dyje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River (Czech Rep.)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Ceframe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(retrieved Mar. 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20-100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Morava River (Czech Rep.)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Ceframe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(retrieved Mar. 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20-100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Alexandria (Egypt)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Hamburg (Germany)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Isar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River (Germany)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Zurich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30-100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 River (Germany)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Zurich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100-500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Rhine River (Germany)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te Linde et al. (2011); ICPR (2005)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200-1,000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166-249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Kumasi (Ghana)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Jha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 xml:space="preserve"> et al., 2012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Kolkata (India)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 xml:space="preserve"> et al.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Waterford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 xml:space="preserve"> (Ireland)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O'Donovan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 xml:space="preserve">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Ireland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O'Donovan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 xml:space="preserve">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20-200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46-432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Mozambique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Carmo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Vaz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, 2000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5-20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Hutt river basin (New Zealand)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 Zealand Government (retrieved on Nov. 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Waikanae river basin (New Zealand)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Greater Wellington Regional Council 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(retrieved on Nov. 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Whakatane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river basin (New Zealand)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Britton (2008)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Saint Petersburg (Russia)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Hunter (2012); Whitelaw</w:t>
            </w:r>
          </w:p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1,000-10,000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Morava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river 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(Slovakia)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Ceframe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(retrieved Mar. 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49-66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Bangkok (Thailand)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World Bank (2009b); World Bank (retrieved on Nov. 2014); </w:t>
            </w: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Tunis (Tunisia)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Goverment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Tunisia (no year specified)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Northern Ireland (UK)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DARDNI (2013)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50-100</w:t>
            </w:r>
          </w:p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46-85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(UK)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Guardian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46-678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Hanoi (Vietnam)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 bank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Mekong Delta (Vietnam)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 bank (2011)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7-12</w:t>
            </w:r>
          </w:p>
        </w:tc>
      </w:tr>
    </w:tbl>
    <w:p w:rsidR="00170749" w:rsidRPr="002C35E2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r w:rsidRPr="002C35E2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orm for entries to the database</w:t>
      </w:r>
    </w:p>
    <w:p w:rsidR="00170749" w:rsidRPr="00D042DB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Table S2. </w:t>
      </w:r>
      <w:r w:rsidRPr="00D042DB">
        <w:rPr>
          <w:rFonts w:ascii="Times New Roman" w:hAnsi="Times New Roman" w:cs="Times New Roman"/>
          <w:sz w:val="24"/>
          <w:szCs w:val="24"/>
          <w:lang w:val="en-US"/>
        </w:rPr>
        <w:t>Form for entries to the database</w:t>
      </w:r>
      <w:r w:rsidR="0078709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leGrid"/>
        <w:tblW w:w="9285" w:type="dxa"/>
        <w:tblLook w:val="04A0" w:firstRow="1" w:lastRow="0" w:firstColumn="1" w:lastColumn="0" w:noHBand="0" w:noVBand="1"/>
      </w:tblPr>
      <w:tblGrid>
        <w:gridCol w:w="2892"/>
        <w:gridCol w:w="1240"/>
        <w:gridCol w:w="309"/>
        <w:gridCol w:w="911"/>
        <w:gridCol w:w="715"/>
        <w:gridCol w:w="715"/>
        <w:gridCol w:w="941"/>
        <w:gridCol w:w="309"/>
        <w:gridCol w:w="1253"/>
      </w:tblGrid>
      <w:tr w:rsidR="00170749" w:rsidTr="001351E4">
        <w:tc>
          <w:tcPr>
            <w:tcW w:w="2988" w:type="dxa"/>
          </w:tcPr>
          <w:p w:rsidR="00170749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Location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59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District</w:t>
            </w:r>
          </w:p>
          <w:p w:rsidR="00170749" w:rsidRPr="002C35E2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68816048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59" w:type="dxa"/>
            <w:gridSpan w:val="2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</w:p>
          <w:p w:rsidR="00170749" w:rsidRPr="002C35E2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30607196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60" w:type="dxa"/>
            <w:gridSpan w:val="2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River stretch/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basin</w:t>
            </w:r>
            <w:proofErr w:type="spellEnd"/>
          </w:p>
          <w:p w:rsidR="00170749" w:rsidRPr="002C35E2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29095831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59" w:type="dxa"/>
            <w:gridSpan w:val="2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Province</w:t>
            </w:r>
            <w:proofErr w:type="spellEnd"/>
          </w:p>
          <w:p w:rsidR="00170749" w:rsidRPr="002C35E2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60366459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6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  <w:p w:rsidR="00170749" w:rsidRPr="002C35E2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12042395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170749" w:rsidTr="001351E4">
        <w:tc>
          <w:tcPr>
            <w:tcW w:w="2988" w:type="dxa"/>
          </w:tcPr>
          <w:p w:rsidR="00170749" w:rsidRPr="002C35E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River or coastal flood:</w:t>
            </w:r>
          </w:p>
        </w:tc>
        <w:tc>
          <w:tcPr>
            <w:tcW w:w="1574" w:type="dxa"/>
            <w:gridSpan w:val="2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River</w:t>
            </w:r>
          </w:p>
          <w:p w:rsidR="00170749" w:rsidRPr="003925B4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601040014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74" w:type="dxa"/>
            <w:gridSpan w:val="2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Coastal</w:t>
            </w:r>
          </w:p>
          <w:p w:rsidR="00170749" w:rsidRPr="003925B4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357883571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  <w:r w:rsidR="00170749"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</w:t>
            </w:r>
          </w:p>
        </w:tc>
        <w:tc>
          <w:tcPr>
            <w:tcW w:w="1574" w:type="dxa"/>
            <w:gridSpan w:val="2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Both</w:t>
            </w:r>
          </w:p>
          <w:p w:rsidR="00170749" w:rsidRPr="003925B4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41913729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75" w:type="dxa"/>
            <w:gridSpan w:val="2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Unspecified</w:t>
            </w:r>
          </w:p>
          <w:p w:rsidR="00170749" w:rsidRPr="003925B4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34785142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170749" w:rsidRPr="00787099" w:rsidTr="001351E4">
        <w:tc>
          <w:tcPr>
            <w:tcW w:w="2988" w:type="dxa"/>
          </w:tcPr>
          <w:p w:rsidR="00170749" w:rsidRPr="008874FD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Enter any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hapefile or coordinates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7979B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9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 of protection (in return period years):</w:t>
            </w:r>
          </w:p>
        </w:tc>
        <w:tc>
          <w:tcPr>
            <w:tcW w:w="3148" w:type="dxa"/>
            <w:gridSpan w:val="4"/>
          </w:tcPr>
          <w:p w:rsidR="00170749" w:rsidRPr="008874FD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4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(or only)</w:t>
            </w:r>
            <w:r w:rsidRPr="008874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3149" w:type="dxa"/>
            <w:gridSpan w:val="4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4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Max:</w:t>
            </w:r>
          </w:p>
        </w:tc>
      </w:tr>
      <w:tr w:rsidR="00170749" w:rsidTr="001351E4">
        <w:tc>
          <w:tcPr>
            <w:tcW w:w="2988" w:type="dxa"/>
          </w:tcPr>
          <w:p w:rsidR="00170749" w:rsidRPr="007979B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9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of protection (see Methods):</w:t>
            </w:r>
          </w:p>
        </w:tc>
        <w:tc>
          <w:tcPr>
            <w:tcW w:w="3148" w:type="dxa"/>
            <w:gridSpan w:val="4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Physical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 xml:space="preserve"> (Design </w:t>
            </w: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layer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70749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87217707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3149" w:type="dxa"/>
            <w:gridSpan w:val="4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 xml:space="preserve">Legal (Policy </w:t>
            </w: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layer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70749" w:rsidRDefault="0078709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23158747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170749" w:rsidTr="001351E4">
        <w:tc>
          <w:tcPr>
            <w:tcW w:w="2988" w:type="dxa"/>
          </w:tcPr>
          <w:p w:rsidR="00170749" w:rsidRPr="008874FD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Description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8874FD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Objective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8874FD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Completion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2C35E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4FD">
              <w:rPr>
                <w:rFonts w:ascii="Times New Roman" w:hAnsi="Times New Roman" w:cs="Times New Roman"/>
                <w:sz w:val="24"/>
                <w:szCs w:val="24"/>
              </w:rPr>
              <w:t>Climate</w:t>
            </w:r>
            <w:proofErr w:type="spellEnd"/>
            <w:r w:rsidRPr="008874FD">
              <w:rPr>
                <w:rFonts w:ascii="Times New Roman" w:hAnsi="Times New Roman" w:cs="Times New Roman"/>
                <w:sz w:val="24"/>
                <w:szCs w:val="24"/>
              </w:rPr>
              <w:t xml:space="preserve"> change </w:t>
            </w:r>
            <w:proofErr w:type="spellStart"/>
            <w:r w:rsidRPr="008874FD">
              <w:rPr>
                <w:rFonts w:ascii="Times New Roman" w:hAnsi="Times New Roman" w:cs="Times New Roman"/>
                <w:sz w:val="24"/>
                <w:szCs w:val="24"/>
              </w:rPr>
              <w:t>considered</w:t>
            </w:r>
            <w:proofErr w:type="spellEnd"/>
            <w:r w:rsidRPr="008874F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2C35E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Reference: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70749" w:rsidRPr="002C35E2" w:rsidRDefault="00170749" w:rsidP="00170749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170749" w:rsidRPr="002C35E2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2C35E2">
        <w:rPr>
          <w:rFonts w:ascii="Times New Roman" w:hAnsi="Times New Roman" w:cs="Times New Roman"/>
          <w:b/>
          <w:sz w:val="24"/>
          <w:szCs w:val="24"/>
          <w:lang w:val="en-US"/>
        </w:rPr>
        <w:t>. FLOPROS database files</w:t>
      </w:r>
    </w:p>
    <w:p w:rsidR="00170749" w:rsidRPr="002C35E2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35E2">
        <w:rPr>
          <w:rFonts w:ascii="Times New Roman" w:hAnsi="Times New Roman" w:cs="Times New Roman"/>
          <w:sz w:val="24"/>
          <w:szCs w:val="24"/>
          <w:lang w:val="en-US"/>
        </w:rPr>
        <w:t>The FLOPROS datab</w:t>
      </w:r>
      <w:r w:rsidR="00DD7DE5">
        <w:rPr>
          <w:rFonts w:ascii="Times New Roman" w:hAnsi="Times New Roman" w:cs="Times New Roman"/>
          <w:sz w:val="24"/>
          <w:szCs w:val="24"/>
          <w:lang w:val="en-US"/>
        </w:rPr>
        <w:t xml:space="preserve">ase is made available via two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documents:</w:t>
      </w:r>
    </w:p>
    <w:p w:rsidR="00170749" w:rsidRPr="002C35E2" w:rsidRDefault="00DD7DE5" w:rsidP="003D752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170749" w:rsidRPr="002C35E2">
        <w:rPr>
          <w:rFonts w:ascii="Times New Roman" w:hAnsi="Times New Roman" w:cs="Times New Roman"/>
          <w:sz w:val="24"/>
          <w:szCs w:val="24"/>
          <w:lang w:val="en-US"/>
        </w:rPr>
        <w:t>n Excel spreadsheet, “</w:t>
      </w:r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FLOPROS_</w:t>
      </w:r>
      <w:r w:rsidR="001D5902">
        <w:rPr>
          <w:rFonts w:ascii="Times New Roman" w:hAnsi="Times New Roman" w:cs="Times New Roman"/>
          <w:sz w:val="24"/>
          <w:szCs w:val="24"/>
          <w:lang w:val="en-US"/>
        </w:rPr>
        <w:t>Database_Design_&amp;_Policy_layers_V1</w:t>
      </w:r>
      <w:r w:rsidR="00E313EF">
        <w:rPr>
          <w:rFonts w:ascii="Times New Roman" w:hAnsi="Times New Roman" w:cs="Times New Roman"/>
          <w:sz w:val="24"/>
          <w:szCs w:val="24"/>
          <w:lang w:val="en-US"/>
        </w:rPr>
        <w:t>“, contains</w:t>
      </w:r>
      <w:r w:rsidR="00170749"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 the information of the Design and the Policy layers</w:t>
      </w:r>
      <w:r w:rsidR="00E313E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025D4">
        <w:rPr>
          <w:rFonts w:ascii="Times New Roman" w:hAnsi="Times New Roman" w:cs="Times New Roman"/>
          <w:sz w:val="24"/>
          <w:szCs w:val="24"/>
          <w:lang w:val="en-US"/>
        </w:rPr>
        <w:t>including a full list of references</w:t>
      </w:r>
      <w:r w:rsidR="00E313E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70749" w:rsidRPr="002C35E2" w:rsidRDefault="00170749" w:rsidP="001D590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Shapefile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, “</w:t>
      </w:r>
      <w:r w:rsidR="001D5902" w:rsidRPr="001D5902">
        <w:rPr>
          <w:rFonts w:ascii="Times New Roman" w:hAnsi="Times New Roman" w:cs="Times New Roman"/>
          <w:sz w:val="24"/>
          <w:szCs w:val="24"/>
          <w:lang w:val="en-US"/>
        </w:rPr>
        <w:t>FLOPROS_shp_V1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”, provides</w:t>
      </w:r>
      <w:r w:rsidR="0024645D"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the information on the protection standards of the Model layer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24645D"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along with the information of the Design and Policy layers that is compatible with the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sub-country unit </w:t>
      </w:r>
      <w:r w:rsidR="0024645D" w:rsidRPr="002C35E2">
        <w:rPr>
          <w:rFonts w:ascii="Times New Roman" w:hAnsi="Times New Roman" w:cs="Times New Roman"/>
          <w:sz w:val="24"/>
          <w:szCs w:val="24"/>
          <w:lang w:val="en-US"/>
        </w:rPr>
        <w:t>scale of the map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. Further, the Shapefile includes information on the Merged layer that results from the other three layers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. Protection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standards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 the Design and Policy layers are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provided both as minimum and maximum values. For the Design and Policy layers,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different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report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protection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standards for river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and for coastal flood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 A “Readme” text file is included to explain the content of the each field in the Shapefile.</w:t>
      </w:r>
    </w:p>
    <w:p w:rsidR="0024645D" w:rsidRP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35E2">
        <w:rPr>
          <w:rFonts w:ascii="Times New Roman" w:hAnsi="Times New Roman" w:cs="Times New Roman"/>
          <w:sz w:val="24"/>
          <w:szCs w:val="24"/>
          <w:lang w:val="en-US"/>
        </w:rPr>
        <w:t>Note that in the case of any discrepancy regarding</w:t>
      </w:r>
      <w:r w:rsidRPr="002C35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spatial or administrative units, the “</w:t>
      </w:r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FLOPROS_Database_Design_&amp;_Policy_layers</w:t>
      </w:r>
      <w:r w:rsidR="00B00A40">
        <w:rPr>
          <w:rFonts w:ascii="Times New Roman" w:hAnsi="Times New Roman" w:cs="Times New Roman"/>
          <w:sz w:val="24"/>
          <w:szCs w:val="24"/>
          <w:lang w:val="en-US"/>
        </w:rPr>
        <w:t>_V1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xcel document should be referred to for reference. Moreover, many entries in the database are not represented in the </w:t>
      </w:r>
      <w:r>
        <w:rPr>
          <w:rFonts w:ascii="Times New Roman" w:hAnsi="Times New Roman" w:cs="Times New Roman"/>
          <w:sz w:val="24"/>
          <w:szCs w:val="24"/>
          <w:lang w:val="en-US"/>
        </w:rPr>
        <w:t>Shapefile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, as the administrative units used do not allow a coherent spatial resolu</w:t>
      </w:r>
      <w:bookmarkStart w:id="0" w:name="_GoBack"/>
      <w:bookmarkEnd w:id="0"/>
      <w:r w:rsidRPr="002C35E2">
        <w:rPr>
          <w:rFonts w:ascii="Times New Roman" w:hAnsi="Times New Roman" w:cs="Times New Roman"/>
          <w:sz w:val="24"/>
          <w:szCs w:val="24"/>
          <w:lang w:val="en-US"/>
        </w:rPr>
        <w:t>tion. The database information that is represented in the “</w:t>
      </w:r>
      <w:r w:rsidR="00B00A40" w:rsidRPr="001D5902">
        <w:rPr>
          <w:rFonts w:ascii="Times New Roman" w:hAnsi="Times New Roman" w:cs="Times New Roman"/>
          <w:sz w:val="24"/>
          <w:szCs w:val="24"/>
          <w:lang w:val="en-US"/>
        </w:rPr>
        <w:t>FLOPROS_shp_V1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 w:rsidR="003D7528">
        <w:rPr>
          <w:rFonts w:ascii="Times New Roman" w:hAnsi="Times New Roman" w:cs="Times New Roman"/>
          <w:sz w:val="24"/>
          <w:szCs w:val="24"/>
          <w:lang w:val="en-US"/>
        </w:rPr>
        <w:t>Shape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file is indicated in the green cells of the “</w:t>
      </w:r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FLOPROS_Database_Design_&amp;_Policy_layers</w:t>
      </w:r>
      <w:r w:rsidR="00B00A40">
        <w:rPr>
          <w:rFonts w:ascii="Times New Roman" w:hAnsi="Times New Roman" w:cs="Times New Roman"/>
          <w:sz w:val="24"/>
          <w:szCs w:val="24"/>
          <w:lang w:val="en-US"/>
        </w:rPr>
        <w:t>_V1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xcel file.</w:t>
      </w:r>
    </w:p>
    <w:sectPr w:rsidR="0024645D" w:rsidRPr="00170749" w:rsidSect="00904810">
      <w:footerReference w:type="default" r:id="rId14"/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B4E" w:rsidRDefault="00DD7DE5">
      <w:pPr>
        <w:spacing w:after="0" w:line="240" w:lineRule="auto"/>
      </w:pPr>
      <w:r>
        <w:separator/>
      </w:r>
    </w:p>
  </w:endnote>
  <w:endnote w:type="continuationSeparator" w:id="0">
    <w:p w:rsidR="00993B4E" w:rsidRDefault="00DD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395579"/>
      <w:docPartObj>
        <w:docPartGallery w:val="Page Numbers (Bottom of Page)"/>
        <w:docPartUnique/>
      </w:docPartObj>
    </w:sdtPr>
    <w:sdtEndPr/>
    <w:sdtContent>
      <w:p w:rsidR="001C1618" w:rsidRDefault="003D752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09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C1618" w:rsidRDefault="007870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B4E" w:rsidRDefault="00DD7DE5">
      <w:pPr>
        <w:spacing w:after="0" w:line="240" w:lineRule="auto"/>
      </w:pPr>
      <w:r>
        <w:separator/>
      </w:r>
    </w:p>
  </w:footnote>
  <w:footnote w:type="continuationSeparator" w:id="0">
    <w:p w:rsidR="00993B4E" w:rsidRDefault="00DD7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420FD"/>
    <w:multiLevelType w:val="hybridMultilevel"/>
    <w:tmpl w:val="6B041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749"/>
    <w:rsid w:val="00170749"/>
    <w:rsid w:val="001D5902"/>
    <w:rsid w:val="0024645D"/>
    <w:rsid w:val="003D7528"/>
    <w:rsid w:val="003F0D47"/>
    <w:rsid w:val="00653633"/>
    <w:rsid w:val="00787099"/>
    <w:rsid w:val="00993B4E"/>
    <w:rsid w:val="00A025D4"/>
    <w:rsid w:val="00B00A40"/>
    <w:rsid w:val="00B516BB"/>
    <w:rsid w:val="00DD7DE5"/>
    <w:rsid w:val="00E3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749"/>
    <w:pPr>
      <w:spacing w:after="240" w:line="480" w:lineRule="auto"/>
      <w:ind w:firstLine="36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749"/>
    <w:pPr>
      <w:spacing w:after="0" w:line="240" w:lineRule="auto"/>
      <w:ind w:firstLine="36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074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70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74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749"/>
    <w:rPr>
      <w:rFonts w:ascii="Tahoma" w:eastAsiaTheme="minorEastAsi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70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749"/>
    <w:pPr>
      <w:spacing w:after="240" w:line="480" w:lineRule="auto"/>
      <w:ind w:firstLine="36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749"/>
    <w:pPr>
      <w:spacing w:after="0" w:line="240" w:lineRule="auto"/>
      <w:ind w:firstLine="36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074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70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74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749"/>
    <w:rPr>
      <w:rFonts w:ascii="Tahoma" w:eastAsiaTheme="minorEastAsi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70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922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Paolo</cp:lastModifiedBy>
  <cp:revision>8</cp:revision>
  <dcterms:created xsi:type="dcterms:W3CDTF">2015-10-27T16:03:00Z</dcterms:created>
  <dcterms:modified xsi:type="dcterms:W3CDTF">2016-03-21T14:57:00Z</dcterms:modified>
</cp:coreProperties>
</file>